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val="0"/>
        <w:snapToGrid w:val="0"/>
        <w:spacing w:before="0" w:after="0" w:line="360" w:lineRule="auto"/>
        <w:jc w:val="center"/>
        <w:textAlignment w:val="auto"/>
        <w:outlineLvl w:val="1"/>
        <w:rPr>
          <w:rFonts w:hint="eastAsia" w:ascii="微软雅黑" w:hAnsi="微软雅黑" w:eastAsia="微软雅黑" w:cs="微软雅黑"/>
          <w:color w:val="auto"/>
          <w:szCs w:val="24"/>
        </w:rPr>
      </w:pPr>
      <w:r>
        <w:rPr>
          <w:rFonts w:hint="eastAsia" w:ascii="微软雅黑" w:hAnsi="微软雅黑" w:eastAsia="微软雅黑" w:cs="微软雅黑"/>
          <w:color w:val="auto"/>
          <w:szCs w:val="24"/>
        </w:rPr>
        <w:t>专项审计制度</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楷体" w:hAnsi="楷体" w:eastAsia="楷体" w:cs="楷体"/>
          <w:b/>
          <w:color w:val="auto"/>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第一条</w:t>
      </w:r>
      <w:r>
        <w:rPr>
          <w:rFonts w:hint="eastAsia" w:ascii="楷体" w:hAnsi="楷体" w:eastAsia="楷体" w:cs="楷体"/>
          <w:color w:val="auto"/>
          <w:sz w:val="28"/>
          <w:szCs w:val="28"/>
        </w:rPr>
        <w:t xml:space="preserve"> 为加强</w:t>
      </w:r>
      <w:r>
        <w:rPr>
          <w:rFonts w:hint="eastAsia" w:ascii="楷体" w:hAnsi="楷体" w:eastAsia="楷体" w:cs="楷体"/>
          <w:color w:val="auto"/>
          <w:sz w:val="28"/>
          <w:szCs w:val="28"/>
          <w:lang w:eastAsia="zh-CN"/>
        </w:rPr>
        <w:t>单位</w:t>
      </w:r>
      <w:r>
        <w:rPr>
          <w:rFonts w:hint="eastAsia" w:ascii="楷体" w:hAnsi="楷体" w:eastAsia="楷体" w:cs="楷体"/>
          <w:color w:val="auto"/>
          <w:sz w:val="28"/>
          <w:szCs w:val="28"/>
        </w:rPr>
        <w:t>规范化管理和内部控制体系建设的需要，保障机构的稳健运行，加强对关键岗位人员任职期间执行行为的监督，在</w:t>
      </w:r>
      <w:r>
        <w:rPr>
          <w:rFonts w:hint="eastAsia" w:ascii="楷体" w:hAnsi="楷体" w:eastAsia="楷体" w:cs="楷体"/>
          <w:color w:val="auto"/>
          <w:sz w:val="28"/>
          <w:szCs w:val="28"/>
          <w:lang w:eastAsia="zh-CN"/>
        </w:rPr>
        <w:t>单位</w:t>
      </w:r>
      <w:r>
        <w:rPr>
          <w:rFonts w:hint="eastAsia" w:ascii="楷体" w:hAnsi="楷体" w:eastAsia="楷体" w:cs="楷体"/>
          <w:color w:val="auto"/>
          <w:sz w:val="28"/>
          <w:szCs w:val="28"/>
        </w:rPr>
        <w:t>不具备轮岗条件的情况下，根据审计相关规定及上级要求，对关键岗位人员及涉及的相关业务采用内部审计和委托第三方机构审计相结合的方式进行专项审计，特制定本管理办法。</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第二条</w:t>
      </w:r>
      <w:r>
        <w:rPr>
          <w:rFonts w:hint="eastAsia" w:ascii="楷体" w:hAnsi="楷体" w:eastAsia="楷体" w:cs="楷体"/>
          <w:color w:val="auto"/>
          <w:sz w:val="28"/>
          <w:szCs w:val="28"/>
        </w:rPr>
        <w:t xml:space="preserve"> 本办法实施的对象指关键岗位人员，如预算、财务收支、资产管理、采购、合同管理等关键岗位人员及涉及业务。</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pacing w:val="-4"/>
          <w:sz w:val="28"/>
          <w:szCs w:val="28"/>
        </w:rPr>
      </w:pPr>
      <w:r>
        <w:rPr>
          <w:rFonts w:hint="eastAsia" w:ascii="楷体" w:hAnsi="楷体" w:eastAsia="楷体" w:cs="楷体"/>
          <w:b/>
          <w:color w:val="auto"/>
          <w:sz w:val="28"/>
          <w:szCs w:val="28"/>
        </w:rPr>
        <w:t>第三条</w:t>
      </w:r>
      <w:r>
        <w:rPr>
          <w:rFonts w:hint="eastAsia" w:ascii="楷体" w:hAnsi="楷体" w:eastAsia="楷体" w:cs="楷体"/>
          <w:color w:val="auto"/>
          <w:sz w:val="28"/>
          <w:szCs w:val="28"/>
        </w:rPr>
        <w:t xml:space="preserve"> </w:t>
      </w:r>
      <w:r>
        <w:rPr>
          <w:rFonts w:hint="eastAsia" w:ascii="楷体" w:hAnsi="楷体" w:eastAsia="楷体" w:cs="楷体"/>
          <w:color w:val="auto"/>
          <w:spacing w:val="-4"/>
          <w:sz w:val="28"/>
          <w:szCs w:val="28"/>
        </w:rPr>
        <w:t>本办法所称专项审计是指对被审计对象任期内针对某一内容、某一方面的局部审计。</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第四条</w:t>
      </w:r>
      <w:r>
        <w:rPr>
          <w:rFonts w:hint="eastAsia" w:ascii="楷体" w:hAnsi="楷体" w:eastAsia="楷体" w:cs="楷体"/>
          <w:color w:val="auto"/>
          <w:sz w:val="28"/>
          <w:szCs w:val="28"/>
        </w:rPr>
        <w:t xml:space="preserve"> 本办法所称审计是指对被审计对象任职期间涉及的相关业务工作和存在问题的全面审计。</w:t>
      </w:r>
    </w:p>
    <w:p>
      <w:pPr>
        <w:keepNext/>
        <w:keepLines/>
        <w:pageBreakBefore w:val="0"/>
        <w:widowControl w:val="0"/>
        <w:kinsoku/>
        <w:wordWrap/>
        <w:overflowPunct/>
        <w:topLinePunct w:val="0"/>
        <w:autoSpaceDE/>
        <w:autoSpaceDN/>
        <w:bidi w:val="0"/>
        <w:adjustRightInd/>
        <w:snapToGrid w:val="0"/>
        <w:spacing w:before="0" w:after="0" w:line="360" w:lineRule="auto"/>
        <w:ind w:firstLine="562" w:firstLineChars="200"/>
        <w:textAlignment w:val="auto"/>
        <w:outlineLvl w:val="9"/>
        <w:rPr>
          <w:rFonts w:hint="eastAsia" w:ascii="楷体" w:hAnsi="楷体" w:eastAsia="楷体" w:cs="楷体"/>
          <w:b w:val="0"/>
          <w:bCs w:val="0"/>
          <w:color w:val="auto"/>
          <w:kern w:val="2"/>
          <w:sz w:val="28"/>
          <w:szCs w:val="28"/>
          <w:lang w:val="en-US" w:eastAsia="zh-CN" w:bidi="ar-SA"/>
        </w:rPr>
      </w:pPr>
      <w:r>
        <w:rPr>
          <w:rFonts w:hint="eastAsia" w:ascii="楷体" w:hAnsi="楷体" w:eastAsia="楷体" w:cs="楷体"/>
          <w:b/>
          <w:bCs/>
          <w:color w:val="auto"/>
          <w:kern w:val="2"/>
          <w:sz w:val="28"/>
          <w:szCs w:val="28"/>
          <w:lang w:val="en-US" w:eastAsia="zh-CN" w:bidi="ar-SA"/>
        </w:rPr>
        <w:t>第五条</w:t>
      </w:r>
      <w:r>
        <w:rPr>
          <w:rFonts w:hint="eastAsia" w:ascii="楷体" w:hAnsi="楷体" w:eastAsia="楷体" w:cs="楷体"/>
          <w:b w:val="0"/>
          <w:bCs w:val="0"/>
          <w:color w:val="auto"/>
          <w:kern w:val="2"/>
          <w:sz w:val="28"/>
          <w:szCs w:val="28"/>
          <w:lang w:val="en-US" w:eastAsia="zh-CN" w:bidi="ar-SA"/>
        </w:rPr>
        <w:t xml:space="preserve"> 单位应对不具备轮岗条件的关键岗位进行专项审计。</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w:t>
      </w:r>
      <w:r>
        <w:rPr>
          <w:rFonts w:hint="eastAsia" w:ascii="楷体" w:hAnsi="楷体" w:eastAsia="楷体" w:cs="楷体"/>
          <w:b/>
          <w:color w:val="auto"/>
          <w:sz w:val="28"/>
          <w:szCs w:val="28"/>
          <w:lang w:val="en-US" w:eastAsia="zh-CN"/>
        </w:rPr>
        <w:t>六</w:t>
      </w:r>
      <w:r>
        <w:rPr>
          <w:rFonts w:hint="eastAsia" w:ascii="楷体" w:hAnsi="楷体" w:eastAsia="楷体" w:cs="楷体"/>
          <w:b/>
          <w:color w:val="auto"/>
          <w:sz w:val="28"/>
          <w:szCs w:val="28"/>
        </w:rPr>
        <w:t>条</w:t>
      </w:r>
      <w:r>
        <w:rPr>
          <w:rFonts w:hint="eastAsia" w:ascii="楷体" w:hAnsi="楷体" w:eastAsia="楷体" w:cs="楷体"/>
          <w:color w:val="auto"/>
          <w:sz w:val="28"/>
          <w:szCs w:val="28"/>
        </w:rPr>
        <w:t xml:space="preserve"> 专项审计原则上按照干部管理权限,采取相应的审计实施方式。</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w:t>
      </w:r>
      <w:r>
        <w:rPr>
          <w:rFonts w:hint="eastAsia" w:ascii="楷体" w:hAnsi="楷体" w:eastAsia="楷体" w:cs="楷体"/>
          <w:b/>
          <w:color w:val="auto"/>
          <w:sz w:val="28"/>
          <w:szCs w:val="28"/>
          <w:lang w:val="en-US" w:eastAsia="zh-CN"/>
        </w:rPr>
        <w:t>七</w:t>
      </w:r>
      <w:r>
        <w:rPr>
          <w:rFonts w:hint="eastAsia" w:ascii="楷体" w:hAnsi="楷体" w:eastAsia="楷体" w:cs="楷体"/>
          <w:b/>
          <w:color w:val="auto"/>
          <w:sz w:val="28"/>
          <w:szCs w:val="28"/>
        </w:rPr>
        <w:t>条</w:t>
      </w:r>
      <w:r>
        <w:rPr>
          <w:rFonts w:hint="eastAsia" w:ascii="楷体" w:hAnsi="楷体" w:eastAsia="楷体" w:cs="楷体"/>
          <w:color w:val="auto"/>
          <w:sz w:val="28"/>
          <w:szCs w:val="28"/>
        </w:rPr>
        <w:t xml:space="preserve"> 根据</w:t>
      </w:r>
      <w:r>
        <w:rPr>
          <w:rFonts w:hint="eastAsia" w:ascii="楷体" w:hAnsi="楷体" w:eastAsia="楷体" w:cs="楷体"/>
          <w:color w:val="auto"/>
          <w:sz w:val="28"/>
          <w:szCs w:val="28"/>
          <w:lang w:eastAsia="zh-CN"/>
        </w:rPr>
        <w:t>单位</w:t>
      </w:r>
      <w:r>
        <w:rPr>
          <w:rFonts w:hint="eastAsia" w:ascii="楷体" w:hAnsi="楷体" w:eastAsia="楷体" w:cs="楷体"/>
          <w:color w:val="auto"/>
          <w:sz w:val="28"/>
          <w:szCs w:val="28"/>
        </w:rPr>
        <w:t>具体情况,可委托有资质的第三方审计机构开展专项审计。</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9"/>
        <w:rPr>
          <w:rFonts w:hint="eastAsia" w:ascii="楷体" w:hAnsi="楷体" w:eastAsia="楷体" w:cs="楷体"/>
          <w:color w:val="auto"/>
          <w:sz w:val="28"/>
          <w:szCs w:val="28"/>
        </w:rPr>
      </w:pPr>
      <w:r>
        <w:rPr>
          <w:rFonts w:hint="eastAsia" w:ascii="楷体" w:hAnsi="楷体" w:eastAsia="楷体" w:cs="楷体"/>
          <w:b/>
          <w:color w:val="auto"/>
          <w:sz w:val="28"/>
          <w:szCs w:val="28"/>
        </w:rPr>
        <w:t>第</w:t>
      </w:r>
      <w:r>
        <w:rPr>
          <w:rFonts w:hint="eastAsia" w:ascii="楷体" w:hAnsi="楷体" w:eastAsia="楷体" w:cs="楷体"/>
          <w:b/>
          <w:color w:val="auto"/>
          <w:sz w:val="28"/>
          <w:szCs w:val="28"/>
          <w:lang w:val="en-US" w:eastAsia="zh-CN"/>
        </w:rPr>
        <w:t>八</w:t>
      </w:r>
      <w:r>
        <w:rPr>
          <w:rFonts w:hint="eastAsia" w:ascii="楷体" w:hAnsi="楷体" w:eastAsia="楷体" w:cs="楷体"/>
          <w:b/>
          <w:color w:val="auto"/>
          <w:sz w:val="28"/>
          <w:szCs w:val="28"/>
        </w:rPr>
        <w:t>条</w:t>
      </w:r>
      <w:r>
        <w:rPr>
          <w:rFonts w:hint="eastAsia" w:ascii="楷体" w:hAnsi="楷体" w:eastAsia="楷体" w:cs="楷体"/>
          <w:color w:val="auto"/>
          <w:sz w:val="28"/>
          <w:szCs w:val="28"/>
        </w:rPr>
        <w:t xml:space="preserve"> 审计结果报告及审计中被审计人员的相关报告及其说明、谈话记录、工作底稿等相关资料，由被委托审计机构收集整理，装订汇总，负责将其送交</w:t>
      </w:r>
      <w:r>
        <w:rPr>
          <w:rFonts w:hint="eastAsia" w:ascii="楷体" w:hAnsi="楷体" w:eastAsia="楷体" w:cs="楷体"/>
          <w:color w:val="auto"/>
          <w:sz w:val="28"/>
          <w:szCs w:val="28"/>
          <w:lang w:eastAsia="zh-CN"/>
        </w:rPr>
        <w:t>单位</w:t>
      </w:r>
      <w:r>
        <w:rPr>
          <w:rFonts w:hint="eastAsia" w:ascii="楷体" w:hAnsi="楷体" w:eastAsia="楷体" w:cs="楷体"/>
          <w:color w:val="auto"/>
          <w:sz w:val="28"/>
          <w:szCs w:val="28"/>
        </w:rPr>
        <w:t>归档。</w:t>
      </w:r>
    </w:p>
    <w:p>
      <w:pPr>
        <w:pageBreakBefore w:val="0"/>
        <w:widowControl w:val="0"/>
        <w:kinsoku/>
        <w:wordWrap/>
        <w:overflowPunct/>
        <w:topLinePunct w:val="0"/>
        <w:autoSpaceDE/>
        <w:autoSpaceDN/>
        <w:bidi w:val="0"/>
        <w:snapToGrid w:val="0"/>
        <w:textAlignment w:val="auto"/>
        <w:rPr>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3583E"/>
    <w:rsid w:val="582F6F19"/>
    <w:rsid w:val="7FA34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jc w:val="both"/>
    </w:pPr>
    <w:rPr>
      <w:rFonts w:ascii="微软雅黑" w:hAnsi="微软雅黑" w:eastAsia="微软雅黑" w:cs="Times New Roman"/>
      <w:kern w:val="2"/>
      <w:sz w:val="24"/>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libri Light" w:hAnsi="Calibri Light" w:eastAsia="宋体" w:cs="Times New Roman"/>
      <w:b/>
      <w:bCs/>
      <w:kern w:val="0"/>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ANGEL1378624605</cp:lastModifiedBy>
  <dcterms:modified xsi:type="dcterms:W3CDTF">2020-06-15T22:54:10Z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